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38" w:rsidRPr="007511C0" w:rsidRDefault="007511C0" w:rsidP="00B5138D">
      <w:pPr>
        <w:pStyle w:val="a3"/>
        <w:jc w:val="center"/>
        <w:rPr>
          <w:b/>
          <w:bCs/>
          <w:color w:val="FF00FF"/>
          <w:sz w:val="28"/>
          <w:szCs w:val="28"/>
        </w:rPr>
      </w:pPr>
      <w:r w:rsidRPr="007511C0">
        <w:rPr>
          <w:b/>
          <w:bCs/>
          <w:sz w:val="28"/>
          <w:szCs w:val="28"/>
        </w:rPr>
        <w:t>Корь</w:t>
      </w:r>
    </w:p>
    <w:p w:rsidR="00A44949" w:rsidRPr="00A44949" w:rsidRDefault="00AB0838" w:rsidP="00A4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   </w:t>
      </w:r>
      <w:r w:rsidR="00A44949" w:rsidRPr="00AB0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Корь</w:t>
      </w:r>
      <w:r w:rsidR="00A44949" w:rsidRPr="00AB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A44949" w:rsidRPr="00A4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острое </w:t>
      </w:r>
      <w:hyperlink r:id="rId5" w:tooltip="Инфекция" w:history="1">
        <w:r w:rsidR="00A44949" w:rsidRPr="00A4494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инфекционное</w:t>
        </w:r>
      </w:hyperlink>
      <w:r w:rsidR="00A44949" w:rsidRPr="00A4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ooltip="Вирус (биология)" w:history="1">
        <w:r w:rsidR="00A44949" w:rsidRPr="00A4494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вирусное</w:t>
        </w:r>
      </w:hyperlink>
      <w:r w:rsidR="00A44949" w:rsidRPr="00A4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заболевание с очень высоким </w:t>
      </w:r>
      <w:hyperlink r:id="rId7" w:tooltip="Индекс контагиозности" w:history="1">
        <w:r w:rsidR="00A44949" w:rsidRPr="00A4494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уровнем заразности</w:t>
        </w:r>
      </w:hyperlink>
      <w:r w:rsidR="00A44949" w:rsidRPr="00A4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характеризуется высокой </w:t>
      </w:r>
      <w:hyperlink r:id="rId8" w:tooltip="Температура" w:history="1">
        <w:r w:rsidR="00A44949" w:rsidRPr="00A4494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температурой</w:t>
        </w:r>
      </w:hyperlink>
      <w:r w:rsidR="00A44949" w:rsidRPr="00A4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40,5 °C), воспалением слизистых оболочек полости рта и верхних дыхательных путей, </w:t>
      </w:r>
      <w:hyperlink r:id="rId9" w:tooltip="Конъюнктивит" w:history="1">
        <w:r w:rsidR="00A44949" w:rsidRPr="00A4494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конъюнктивитом</w:t>
        </w:r>
      </w:hyperlink>
      <w:r w:rsidR="00A44949" w:rsidRPr="00A4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характерной пятнисто-папулёзной сыпью </w:t>
      </w:r>
      <w:hyperlink r:id="rId10" w:tooltip="Кожа" w:history="1">
        <w:r w:rsidR="00A44949" w:rsidRPr="00A4494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кожных</w:t>
        </w:r>
      </w:hyperlink>
      <w:r w:rsidR="00A44949" w:rsidRPr="00A4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покровов, общей интоксикацией. </w:t>
      </w:r>
    </w:p>
    <w:p w:rsidR="00AB0838" w:rsidRDefault="00AB0838" w:rsidP="00AB0838">
      <w:pPr>
        <w:pStyle w:val="a3"/>
      </w:pPr>
      <w:r>
        <w:t>                    </w:t>
      </w:r>
      <w:r w:rsidR="00334290" w:rsidRPr="00AB0838">
        <w:rPr>
          <w:noProof/>
          <w:color w:val="0000FF"/>
        </w:rPr>
        <w:drawing>
          <wp:inline distT="0" distB="0" distL="0" distR="0" wp14:anchorId="3E408C51" wp14:editId="4D53CE06">
            <wp:extent cx="2609850" cy="1724025"/>
            <wp:effectExtent l="0" t="0" r="0" b="9525"/>
            <wp:docPr id="2" name="Рисунок 2" descr="Measles child Philippines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easles child Philippines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0838" w:rsidRDefault="00AB0838" w:rsidP="00AB0838">
      <w:pPr>
        <w:pStyle w:val="a3"/>
      </w:pPr>
      <w:r>
        <w:t xml:space="preserve">    </w:t>
      </w:r>
    </w:p>
    <w:p w:rsidR="009523DB" w:rsidRDefault="00AB0838" w:rsidP="00334290">
      <w:pPr>
        <w:spacing w:before="100" w:beforeAutospacing="1" w:after="100" w:afterAutospacing="1" w:line="240" w:lineRule="auto"/>
        <w:jc w:val="both"/>
      </w:pPr>
      <w:r>
        <w:rPr>
          <w:b/>
          <w:bCs/>
          <w:color w:val="FF0000"/>
        </w:rPr>
        <w:t>   </w:t>
      </w:r>
      <w:r>
        <w:t xml:space="preserve">  </w:t>
      </w:r>
      <w:r w:rsidRPr="009523DB">
        <w:rPr>
          <w:rFonts w:ascii="Times New Roman" w:hAnsi="Times New Roman" w:cs="Times New Roman"/>
          <w:sz w:val="24"/>
          <w:szCs w:val="24"/>
        </w:rPr>
        <w:t xml:space="preserve"> Больной корью заразен </w:t>
      </w:r>
      <w:r w:rsidR="007511C0" w:rsidRPr="009523DB">
        <w:rPr>
          <w:rFonts w:ascii="Times New Roman" w:hAnsi="Times New Roman" w:cs="Times New Roman"/>
          <w:sz w:val="24"/>
          <w:szCs w:val="24"/>
        </w:rPr>
        <w:t>за 3 – 4 дня до появления сыпи</w:t>
      </w:r>
      <w:r w:rsidRPr="009523DB">
        <w:rPr>
          <w:rFonts w:ascii="Times New Roman" w:hAnsi="Times New Roman" w:cs="Times New Roman"/>
          <w:sz w:val="24"/>
          <w:szCs w:val="24"/>
        </w:rPr>
        <w:t xml:space="preserve"> и первые 4 дня высыпания. </w:t>
      </w:r>
      <w:r w:rsidR="009523D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523DB" w:rsidRPr="00AB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аждый больной заражает 9 из 10 контактировавших с ним </w:t>
      </w:r>
      <w:proofErr w:type="spellStart"/>
      <w:r w:rsidR="009523DB" w:rsidRPr="00AB08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неиммунных</w:t>
      </w:r>
      <w:proofErr w:type="spellEnd"/>
      <w:r w:rsidR="009523DB" w:rsidRPr="00AB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кори людей.</w:t>
      </w:r>
      <w:r w:rsidR="009A24E4" w:rsidRPr="009A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4E4" w:rsidRPr="00AB08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заболеваемость корью в 2018 году составила 1,7 случаев на 100 000 человек</w:t>
      </w:r>
      <w:r w:rsidR="003342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523DB" w:rsidRPr="00AB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290" w:rsidRPr="00AB08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заболело 2538 человек</w:t>
      </w:r>
      <w:r w:rsidR="003342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4290" w:rsidRPr="009523DB">
        <w:rPr>
          <w:rFonts w:ascii="Times New Roman" w:hAnsi="Times New Roman" w:cs="Times New Roman"/>
          <w:sz w:val="24"/>
          <w:szCs w:val="24"/>
        </w:rPr>
        <w:t xml:space="preserve"> </w:t>
      </w:r>
      <w:r w:rsidRPr="009523DB">
        <w:rPr>
          <w:rFonts w:ascii="Times New Roman" w:hAnsi="Times New Roman" w:cs="Times New Roman"/>
          <w:sz w:val="24"/>
          <w:szCs w:val="24"/>
        </w:rPr>
        <w:t>Механизм передачи – воздушно-капельный. В организм здорового человека вирус кори проникает через слизистую носоглотки, верхних дыхательных путей и глаз с капельками выделений больного человека по воздуху. Заражение имеет место, как при тесном общении, так и на определенном расстоянии при заносе инфицированного воздуха в соседние помещения. Через т</w:t>
      </w:r>
      <w:r w:rsidR="007511C0" w:rsidRPr="009523DB">
        <w:rPr>
          <w:rFonts w:ascii="Times New Roman" w:hAnsi="Times New Roman" w:cs="Times New Roman"/>
          <w:sz w:val="24"/>
          <w:szCs w:val="24"/>
        </w:rPr>
        <w:t>ретьих лиц вирус не передается.</w:t>
      </w:r>
      <w:r w:rsidRPr="009523DB">
        <w:rPr>
          <w:rFonts w:ascii="Times New Roman" w:hAnsi="Times New Roman" w:cs="Times New Roman"/>
          <w:sz w:val="24"/>
          <w:szCs w:val="24"/>
        </w:rPr>
        <w:t>  Естественная восприимчивость людей к этому заболеванию почти абсолютная. Перенесенное заболевание формирует стойкий пожизненный иммунитет. Корью могут болеть люди всех возрастов. При заносе кори в коллектив, где много не привитых лиц против кори, может возникнуть вспышка. В современный период заболевание корью среди населения может возникнуть при завозе случаев кори из других территорий, если насел</w:t>
      </w:r>
      <w:r w:rsidR="007511C0" w:rsidRPr="009523DB">
        <w:rPr>
          <w:rFonts w:ascii="Times New Roman" w:hAnsi="Times New Roman" w:cs="Times New Roman"/>
          <w:sz w:val="24"/>
          <w:szCs w:val="24"/>
        </w:rPr>
        <w:t>ение плохо привито против кори.</w:t>
      </w:r>
      <w:r w:rsidRPr="009523DB">
        <w:rPr>
          <w:rFonts w:ascii="Times New Roman" w:hAnsi="Times New Roman" w:cs="Times New Roman"/>
          <w:sz w:val="24"/>
          <w:szCs w:val="24"/>
        </w:rPr>
        <w:t>  Инкубационный период от 8 до 17 дней, обычно 9 – 10 дней.</w:t>
      </w:r>
      <w:r>
        <w:t xml:space="preserve"> </w:t>
      </w:r>
    </w:p>
    <w:p w:rsidR="009523DB" w:rsidRPr="00334290" w:rsidRDefault="00AB0838" w:rsidP="00334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DB">
        <w:rPr>
          <w:rFonts w:ascii="Times New Roman" w:hAnsi="Times New Roman" w:cs="Times New Roman"/>
          <w:sz w:val="24"/>
          <w:szCs w:val="24"/>
        </w:rPr>
        <w:t xml:space="preserve">    </w:t>
      </w:r>
      <w:r w:rsidR="007511C0" w:rsidRPr="00334290">
        <w:rPr>
          <w:rFonts w:ascii="Times New Roman" w:hAnsi="Times New Roman" w:cs="Times New Roman"/>
          <w:b/>
          <w:bCs/>
          <w:sz w:val="24"/>
          <w:szCs w:val="24"/>
        </w:rPr>
        <w:t>Клиника</w:t>
      </w:r>
      <w:r w:rsidRPr="00334290">
        <w:rPr>
          <w:rFonts w:ascii="Times New Roman" w:hAnsi="Times New Roman" w:cs="Times New Roman"/>
          <w:sz w:val="24"/>
          <w:szCs w:val="24"/>
        </w:rPr>
        <w:t xml:space="preserve">     Заболевание начинается с продромального периода, которое длится 3 - 4 дня и характеризуется повышением температуры до 38 градусов, катаральными явлениями со стороны слизистых носоглотки, глаз и дыхательных путей. Далее появляется сыпь, сначала за ушами, на лице, шее и верхней части груди, опускается на туловище и верхние конечности и далее на нижние конечности. В современных условиях </w:t>
      </w:r>
      <w:proofErr w:type="spellStart"/>
      <w:r w:rsidRPr="00334290">
        <w:rPr>
          <w:rFonts w:ascii="Times New Roman" w:hAnsi="Times New Roman" w:cs="Times New Roman"/>
          <w:sz w:val="24"/>
          <w:szCs w:val="24"/>
        </w:rPr>
        <w:t>этапность</w:t>
      </w:r>
      <w:proofErr w:type="spellEnd"/>
      <w:r w:rsidRPr="00334290">
        <w:rPr>
          <w:rFonts w:ascii="Times New Roman" w:hAnsi="Times New Roman" w:cs="Times New Roman"/>
          <w:sz w:val="24"/>
          <w:szCs w:val="24"/>
        </w:rPr>
        <w:t xml:space="preserve"> высыпаний может нарушаться. Через 3 – </w:t>
      </w:r>
      <w:r w:rsidR="007511C0" w:rsidRPr="00334290">
        <w:rPr>
          <w:rFonts w:ascii="Times New Roman" w:hAnsi="Times New Roman" w:cs="Times New Roman"/>
          <w:sz w:val="24"/>
          <w:szCs w:val="24"/>
        </w:rPr>
        <w:t>4 дня сыпь бледнеет и исчезает, но остается пигментация</w:t>
      </w:r>
      <w:r w:rsidRPr="00334290">
        <w:rPr>
          <w:rFonts w:ascii="Times New Roman" w:hAnsi="Times New Roman" w:cs="Times New Roman"/>
          <w:sz w:val="24"/>
          <w:szCs w:val="24"/>
        </w:rPr>
        <w:t xml:space="preserve"> и шелушени</w:t>
      </w:r>
      <w:r w:rsidR="007511C0" w:rsidRPr="00334290">
        <w:rPr>
          <w:rFonts w:ascii="Times New Roman" w:hAnsi="Times New Roman" w:cs="Times New Roman"/>
          <w:sz w:val="24"/>
          <w:szCs w:val="24"/>
        </w:rPr>
        <w:t>е</w:t>
      </w:r>
      <w:r w:rsidR="009523DB" w:rsidRPr="00334290">
        <w:rPr>
          <w:rFonts w:ascii="Times New Roman" w:hAnsi="Times New Roman" w:cs="Times New Roman"/>
          <w:sz w:val="24"/>
          <w:szCs w:val="24"/>
        </w:rPr>
        <w:t>. В</w:t>
      </w:r>
      <w:r w:rsidRPr="00334290">
        <w:rPr>
          <w:rFonts w:ascii="Times New Roman" w:hAnsi="Times New Roman" w:cs="Times New Roman"/>
          <w:sz w:val="24"/>
          <w:szCs w:val="24"/>
        </w:rPr>
        <w:t xml:space="preserve">се больные с подозрением на корь должны госпитализироваться в инфекционный стационар. </w:t>
      </w:r>
      <w:r w:rsidR="009523DB" w:rsidRPr="0033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кори возможны осложнения, связанные с работой </w:t>
      </w:r>
      <w:hyperlink r:id="rId13" w:tooltip="Центральная нервная система" w:history="1">
        <w:r w:rsidR="009523DB" w:rsidRPr="003342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центральной нервной системы</w:t>
        </w:r>
      </w:hyperlink>
      <w:r w:rsidR="009523DB" w:rsidRPr="0033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дыхательной системы и </w:t>
      </w:r>
      <w:hyperlink r:id="rId14" w:tooltip="Желудочно-кишечный тракт" w:history="1">
        <w:r w:rsidR="009523DB" w:rsidRPr="003342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желудочно-кишечного тракта</w:t>
        </w:r>
      </w:hyperlink>
      <w:r w:rsidR="009523DB" w:rsidRPr="0033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среди них: </w:t>
      </w:r>
      <w:hyperlink r:id="rId15" w:tooltip="Ларингит" w:history="1">
        <w:r w:rsidR="009523DB" w:rsidRPr="003342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ларингит</w:t>
        </w:r>
      </w:hyperlink>
      <w:r w:rsidR="009523DB" w:rsidRPr="0033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tooltip="Круп" w:history="1">
        <w:r w:rsidR="009523DB" w:rsidRPr="003342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круп</w:t>
        </w:r>
      </w:hyperlink>
      <w:r w:rsidR="009523DB" w:rsidRPr="0033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(стеноз гортани), </w:t>
      </w:r>
      <w:hyperlink r:id="rId17" w:tooltip="Бронхит" w:history="1">
        <w:r w:rsidR="009523DB" w:rsidRPr="003342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бронхит</w:t>
        </w:r>
      </w:hyperlink>
      <w:r w:rsidR="009523DB" w:rsidRPr="0033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tooltip="Трахеит" w:history="1">
        <w:r w:rsidR="009523DB" w:rsidRPr="003342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трахеит</w:t>
        </w:r>
      </w:hyperlink>
      <w:r w:rsidR="009523DB" w:rsidRPr="0033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tooltip="Отит" w:history="1">
        <w:r w:rsidR="009523DB" w:rsidRPr="003342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отит</w:t>
        </w:r>
      </w:hyperlink>
      <w:r w:rsidR="009523DB" w:rsidRPr="0033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tooltip="Синусит" w:history="1">
        <w:r w:rsidR="009523DB" w:rsidRPr="003342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синусит</w:t>
        </w:r>
      </w:hyperlink>
      <w:r w:rsidR="009523DB" w:rsidRPr="0033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первичная коревая </w:t>
      </w:r>
      <w:hyperlink r:id="rId21" w:tooltip="Пневмония" w:history="1">
        <w:r w:rsidR="009523DB" w:rsidRPr="003342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пневмония</w:t>
        </w:r>
      </w:hyperlink>
      <w:r w:rsidR="009523DB" w:rsidRPr="0033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вторичная бактериальная пневмония, коревой </w:t>
      </w:r>
      <w:hyperlink r:id="rId22" w:tooltip="Энцефалит" w:history="1">
        <w:r w:rsidR="009523DB" w:rsidRPr="003342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энцефалит</w:t>
        </w:r>
      </w:hyperlink>
      <w:r w:rsidR="009523DB" w:rsidRPr="0033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tooltip="Гепатит" w:history="1">
        <w:r w:rsidR="009523DB" w:rsidRPr="003342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гепатит</w:t>
        </w:r>
      </w:hyperlink>
      <w:r w:rsidR="009523DB" w:rsidRPr="0033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tooltip="Лимфаденит" w:history="1">
        <w:r w:rsidR="009523DB" w:rsidRPr="003342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лимфаденит</w:t>
        </w:r>
      </w:hyperlink>
      <w:r w:rsidR="009A24E4" w:rsidRPr="0033429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отсутствии надлежащей медицинской помощи и недостаточном питании заболевание для 10 % заболевших заканчивается смертельным исходом.</w:t>
      </w:r>
    </w:p>
    <w:p w:rsidR="00AB0838" w:rsidRDefault="00AB0838" w:rsidP="007511C0">
      <w:pPr>
        <w:pStyle w:val="a3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AB0838" w:rsidRPr="00AB0838" w:rsidTr="00AB0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310E" w:rsidRDefault="00334290" w:rsidP="00813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t>             </w:t>
            </w:r>
            <w:r w:rsidR="007511C0" w:rsidRPr="0095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профилактики</w:t>
            </w:r>
            <w:r w:rsidR="00AB0838" w:rsidRPr="009523DB">
              <w:rPr>
                <w:rFonts w:ascii="Times New Roman" w:hAnsi="Times New Roman" w:cs="Times New Roman"/>
                <w:sz w:val="24"/>
                <w:szCs w:val="24"/>
              </w:rPr>
              <w:t xml:space="preserve">   Единственной профилактической мерой является активная иммунизация против кори детей, подростков и взрослых до 35 лет. В соответствии с национальным календарем прививок дети должны получить вакцинацию против кори - в 1 год, ревакцинацию – в 6 лет. </w:t>
            </w:r>
            <w:hyperlink r:id="rId25" w:tooltip="Вакцина" w:history="1">
              <w:r w:rsidR="009A24E4" w:rsidRPr="009A24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Вакцина</w:t>
              </w:r>
            </w:hyperlink>
            <w:r w:rsidR="009A24E4" w:rsidRPr="009A2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2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 кори очень эффективна. П</w:t>
            </w:r>
            <w:r w:rsidR="009A24E4" w:rsidRPr="00AB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осле введения одной дозы 95 % детей двенадцатимесяч</w:t>
            </w:r>
            <w:r w:rsidR="009A2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возраста получают иммунитет</w:t>
            </w:r>
            <w:r w:rsidR="009A24E4" w:rsidRPr="00AB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B0838" w:rsidRPr="009523DB">
              <w:rPr>
                <w:rFonts w:ascii="Times New Roman" w:hAnsi="Times New Roman" w:cs="Times New Roman"/>
                <w:sz w:val="24"/>
                <w:szCs w:val="24"/>
              </w:rPr>
              <w:t>Детям и подросткам, не болевшим корью, не привитым или не имеющим сведений о прививках против кори</w:t>
            </w:r>
            <w:r w:rsidR="007511C0" w:rsidRPr="009523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0838" w:rsidRPr="009523DB">
              <w:rPr>
                <w:rFonts w:ascii="Times New Roman" w:hAnsi="Times New Roman" w:cs="Times New Roman"/>
                <w:sz w:val="24"/>
                <w:szCs w:val="24"/>
              </w:rPr>
              <w:t xml:space="preserve"> прививка делается в любом возрасте двукратно с интервалом не менее 3 месяца. </w:t>
            </w:r>
            <w:r w:rsidR="009A24E4" w:rsidRPr="00AB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Хотя вакцинация от кори производится живым вирусом, передача вакцинного штамма вируса кори среди людей не зафиксирована</w:t>
            </w:r>
            <w:r w:rsidR="009A2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7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Вакцинация детей проводится моновакциной против кори или поливакциной, содержащей вакцину против кори, паротита, краснухи. Вакцины производятся в </w:t>
            </w:r>
            <w:r w:rsidR="0081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 Московским научно-производственным объединением «</w:t>
            </w:r>
            <w:proofErr w:type="spellStart"/>
            <w:r w:rsidR="0081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Микроген</w:t>
            </w:r>
            <w:proofErr w:type="spellEnd"/>
            <w:r w:rsidR="0081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B0838" w:rsidRPr="009523DB" w:rsidRDefault="0081310E" w:rsidP="00813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Основным противопоказанием для вакцины является аллергическая реакция у ребенка на куриные или перепелиные яйца, так как вирус культивируется на клетках куриных или перепелиных эмбрионов. ВИЧ-инфицирование не является противопоказанием к вакцинации. </w:t>
            </w:r>
          </w:p>
        </w:tc>
      </w:tr>
      <w:tr w:rsidR="0081310E" w:rsidRPr="00AB0838" w:rsidTr="00AB0838">
        <w:trPr>
          <w:tblCellSpacing w:w="15" w:type="dxa"/>
        </w:trPr>
        <w:tc>
          <w:tcPr>
            <w:tcW w:w="0" w:type="auto"/>
            <w:vAlign w:val="center"/>
          </w:tcPr>
          <w:p w:rsidR="0081310E" w:rsidRDefault="0081310E" w:rsidP="0081310E">
            <w:pPr>
              <w:spacing w:after="0" w:line="240" w:lineRule="auto"/>
              <w:jc w:val="both"/>
            </w:pPr>
          </w:p>
        </w:tc>
      </w:tr>
    </w:tbl>
    <w:p w:rsidR="00AB0838" w:rsidRPr="00AB0838" w:rsidRDefault="00AB0838" w:rsidP="00AB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26" o:title=""/>
          </v:shape>
          <w:control r:id="rId27" w:name="DefaultOcxName" w:shapeid="_x0000_i1028"/>
        </w:object>
      </w:r>
    </w:p>
    <w:p w:rsidR="00AB0838" w:rsidRPr="00AB0838" w:rsidRDefault="00334290" w:rsidP="00AB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CADA985" wp14:editId="4D4D2284">
            <wp:extent cx="3048000" cy="3048000"/>
            <wp:effectExtent l="0" t="0" r="0" b="0"/>
            <wp:docPr id="5" name="Рисунок 5" descr="ko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r3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A4E" w:rsidRDefault="00D44A4E"/>
    <w:sectPr w:rsidR="00D4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840"/>
    <w:multiLevelType w:val="multilevel"/>
    <w:tmpl w:val="525E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8716D5"/>
    <w:multiLevelType w:val="multilevel"/>
    <w:tmpl w:val="3CE6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45"/>
    <w:rsid w:val="00334290"/>
    <w:rsid w:val="00350771"/>
    <w:rsid w:val="006E7D51"/>
    <w:rsid w:val="007511C0"/>
    <w:rsid w:val="0081310E"/>
    <w:rsid w:val="009523DB"/>
    <w:rsid w:val="00977002"/>
    <w:rsid w:val="009A24E4"/>
    <w:rsid w:val="00A44949"/>
    <w:rsid w:val="00AB0838"/>
    <w:rsid w:val="00AE0E8D"/>
    <w:rsid w:val="00B5138D"/>
    <w:rsid w:val="00B517B0"/>
    <w:rsid w:val="00D44A4E"/>
    <w:rsid w:val="00F3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655E9E-F02B-4A95-9A0B-BF87AAAB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0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08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08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08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08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B0838"/>
  </w:style>
  <w:style w:type="paragraph" w:customStyle="1" w:styleId="msonormal0">
    <w:name w:val="msonormal"/>
    <w:basedOn w:val="a"/>
    <w:rsid w:val="00AB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083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B0838"/>
    <w:rPr>
      <w:color w:val="800080"/>
      <w:u w:val="single"/>
    </w:rPr>
  </w:style>
  <w:style w:type="character" w:customStyle="1" w:styleId="no-wikidata">
    <w:name w:val="no-wikidata"/>
    <w:basedOn w:val="a0"/>
    <w:rsid w:val="00AB0838"/>
  </w:style>
  <w:style w:type="character" w:customStyle="1" w:styleId="noprint">
    <w:name w:val="noprint"/>
    <w:basedOn w:val="a0"/>
    <w:rsid w:val="00AB0838"/>
  </w:style>
  <w:style w:type="character" w:customStyle="1" w:styleId="wikidata-claim">
    <w:name w:val="wikidata-claim"/>
    <w:basedOn w:val="a0"/>
    <w:rsid w:val="00AB0838"/>
  </w:style>
  <w:style w:type="character" w:customStyle="1" w:styleId="wikidata-snak">
    <w:name w:val="wikidata-snak"/>
    <w:basedOn w:val="a0"/>
    <w:rsid w:val="00AB0838"/>
  </w:style>
  <w:style w:type="character" w:customStyle="1" w:styleId="nowrap">
    <w:name w:val="nowrap"/>
    <w:basedOn w:val="a0"/>
    <w:rsid w:val="00AB0838"/>
  </w:style>
  <w:style w:type="character" w:customStyle="1" w:styleId="toctogglespan">
    <w:name w:val="toctogglespan"/>
    <w:basedOn w:val="a0"/>
    <w:rsid w:val="00AB0838"/>
  </w:style>
  <w:style w:type="character" w:customStyle="1" w:styleId="tocnumber">
    <w:name w:val="tocnumber"/>
    <w:basedOn w:val="a0"/>
    <w:rsid w:val="00AB0838"/>
  </w:style>
  <w:style w:type="character" w:customStyle="1" w:styleId="toctext">
    <w:name w:val="toctext"/>
    <w:basedOn w:val="a0"/>
    <w:rsid w:val="00AB0838"/>
  </w:style>
  <w:style w:type="character" w:customStyle="1" w:styleId="mw-headline">
    <w:name w:val="mw-headline"/>
    <w:basedOn w:val="a0"/>
    <w:rsid w:val="00AB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92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21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9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7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5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5%D0%BC%D0%BF%D0%B5%D1%80%D0%B0%D1%82%D1%83%D1%80%D0%B0" TargetMode="External"/><Relationship Id="rId13" Type="http://schemas.openxmlformats.org/officeDocument/2006/relationships/hyperlink" Target="https://ru.wikipedia.org/wiki/%D0%A6%D0%B5%D0%BD%D1%82%D1%80%D0%B0%D0%BB%D1%8C%D0%BD%D0%B0%D1%8F_%D0%BD%D0%B5%D1%80%D0%B2%D0%BD%D0%B0%D1%8F_%D1%81%D0%B8%D1%81%D1%82%D0%B5%D0%BC%D0%B0" TargetMode="External"/><Relationship Id="rId18" Type="http://schemas.openxmlformats.org/officeDocument/2006/relationships/hyperlink" Target="https://ru.wikipedia.org/wiki/%D0%A2%D1%80%D0%B0%D1%85%D0%B5%D0%B8%D1%82" TargetMode="External"/><Relationship Id="rId26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F%D0%BD%D0%B5%D0%B2%D0%BC%D0%BE%D0%BD%D0%B8%D1%8F" TargetMode="External"/><Relationship Id="rId7" Type="http://schemas.openxmlformats.org/officeDocument/2006/relationships/hyperlink" Target="https://ru.wikipedia.org/wiki/%D0%98%D0%BD%D0%B4%D0%B5%D0%BA%D1%81_%D0%BA%D0%BE%D0%BD%D1%82%D0%B0%D0%B3%D0%B8%D0%BE%D0%B7%D0%BD%D0%BE%D1%81%D1%82%D0%B8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ru.wikipedia.org/wiki/%D0%91%D1%80%D0%BE%D0%BD%D1%85%D0%B8%D1%82" TargetMode="External"/><Relationship Id="rId25" Type="http://schemas.openxmlformats.org/officeDocument/2006/relationships/hyperlink" Target="https://ru.wikipedia.org/wiki/%D0%92%D0%B0%D0%BA%D1%86%D0%B8%D0%BD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1%80%D1%83%D0%BF" TargetMode="External"/><Relationship Id="rId20" Type="http://schemas.openxmlformats.org/officeDocument/2006/relationships/hyperlink" Target="https://ru.wikipedia.org/wiki/%D0%A1%D0%B8%D0%BD%D1%83%D1%81%D0%B8%D1%8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8%D1%80%D1%83%D1%81_%28%D0%B1%D0%B8%D0%BE%D0%BB%D0%BE%D0%B3%D0%B8%D1%8F%29" TargetMode="External"/><Relationship Id="rId11" Type="http://schemas.openxmlformats.org/officeDocument/2006/relationships/hyperlink" Target="https://commons.wikimedia.org/wiki/File:Measles_child_Philippines.jpg?uselang=ru" TargetMode="External"/><Relationship Id="rId24" Type="http://schemas.openxmlformats.org/officeDocument/2006/relationships/hyperlink" Target="https://ru.wikipedia.org/wiki/%D0%9B%D0%B8%D0%BC%D1%84%D0%B0%D0%B4%D0%B5%D0%BD%D0%B8%D1%82" TargetMode="External"/><Relationship Id="rId5" Type="http://schemas.openxmlformats.org/officeDocument/2006/relationships/hyperlink" Target="https://ru.wikipedia.org/wiki/%D0%98%D0%BD%D1%84%D0%B5%D0%BA%D1%86%D0%B8%D1%8F" TargetMode="External"/><Relationship Id="rId15" Type="http://schemas.openxmlformats.org/officeDocument/2006/relationships/hyperlink" Target="https://ru.wikipedia.org/wiki/%D0%9B%D0%B0%D1%80%D0%B8%D0%BD%D0%B3%D0%B8%D1%82" TargetMode="External"/><Relationship Id="rId23" Type="http://schemas.openxmlformats.org/officeDocument/2006/relationships/hyperlink" Target="https://ru.wikipedia.org/wiki/%D0%93%D0%B5%D0%BF%D0%B0%D1%82%D0%B8%D1%82" TargetMode="External"/><Relationship Id="rId28" Type="http://schemas.openxmlformats.org/officeDocument/2006/relationships/image" Target="media/image3.jpeg"/><Relationship Id="rId10" Type="http://schemas.openxmlformats.org/officeDocument/2006/relationships/hyperlink" Target="https://ru.wikipedia.org/wiki/%D0%9A%D0%BE%D0%B6%D0%B0" TargetMode="External"/><Relationship Id="rId19" Type="http://schemas.openxmlformats.org/officeDocument/2006/relationships/hyperlink" Target="https://ru.wikipedia.org/wiki/%D0%9E%D1%82%D0%B8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E%D0%BD%D1%8A%D1%8E%D0%BD%D0%BA%D1%82%D0%B8%D0%B2%D0%B8%D1%82" TargetMode="External"/><Relationship Id="rId14" Type="http://schemas.openxmlformats.org/officeDocument/2006/relationships/hyperlink" Target="https://ru.wikipedia.org/wiki/%D0%96%D0%B5%D0%BB%D1%83%D0%B4%D0%BE%D1%87%D0%BD%D0%BE-%D0%BA%D0%B8%D1%88%D0%B5%D1%87%D0%BD%D1%8B%D0%B9_%D1%82%D1%80%D0%B0%D0%BA%D1%82" TargetMode="External"/><Relationship Id="rId22" Type="http://schemas.openxmlformats.org/officeDocument/2006/relationships/hyperlink" Target="https://ru.wikipedia.org/wiki/%D0%AD%D0%BD%D1%86%D0%B5%D1%84%D0%B0%D0%BB%D0%B8%D1%82" TargetMode="External"/><Relationship Id="rId27" Type="http://schemas.openxmlformats.org/officeDocument/2006/relationships/control" Target="activeX/activeX1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11</cp:revision>
  <dcterms:created xsi:type="dcterms:W3CDTF">2019-10-15T07:33:00Z</dcterms:created>
  <dcterms:modified xsi:type="dcterms:W3CDTF">2019-10-30T10:14:00Z</dcterms:modified>
</cp:coreProperties>
</file>